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16F2C" w14:textId="77777777" w:rsidR="00573605" w:rsidRPr="00447F8F" w:rsidRDefault="00573605" w:rsidP="00573605">
      <w:pPr>
        <w:spacing w:line="240" w:lineRule="auto"/>
        <w:jc w:val="center"/>
        <w:rPr>
          <w:rFonts w:asciiTheme="majorBidi" w:hAnsiTheme="majorBidi" w:cstheme="majorBidi"/>
          <w:b/>
          <w:bCs/>
          <w:sz w:val="24"/>
          <w:szCs w:val="24"/>
        </w:rPr>
      </w:pPr>
      <w:r w:rsidRPr="00447F8F">
        <w:rPr>
          <w:rFonts w:asciiTheme="majorBidi" w:hAnsiTheme="majorBidi" w:cstheme="majorBidi"/>
          <w:b/>
          <w:bCs/>
          <w:sz w:val="24"/>
          <w:szCs w:val="24"/>
        </w:rPr>
        <w:t>Abstract</w:t>
      </w:r>
    </w:p>
    <w:p w14:paraId="1962C56D" w14:textId="77777777" w:rsidR="00573605" w:rsidRPr="00720F27" w:rsidRDefault="00573605" w:rsidP="00573605">
      <w:pPr>
        <w:pBdr>
          <w:top w:val="nil"/>
          <w:left w:val="nil"/>
          <w:bottom w:val="nil"/>
          <w:right w:val="nil"/>
          <w:between w:val="nil"/>
        </w:pBdr>
        <w:spacing w:line="240" w:lineRule="auto"/>
        <w:jc w:val="both"/>
        <w:rPr>
          <w:rFonts w:asciiTheme="majorBidi" w:hAnsiTheme="majorBidi" w:cstheme="majorBidi"/>
          <w:bCs/>
          <w:i/>
          <w:sz w:val="24"/>
          <w:szCs w:val="24"/>
        </w:rPr>
      </w:pPr>
      <w:r w:rsidRPr="00A27818">
        <w:rPr>
          <w:rFonts w:asciiTheme="majorBidi" w:hAnsiTheme="majorBidi" w:cstheme="majorBidi"/>
          <w:sz w:val="24"/>
          <w:szCs w:val="24"/>
        </w:rPr>
        <w:t>This study introduces an innovative pedagogical framework that integrates artificial intelligence with the classical Arabic grammar text </w:t>
      </w:r>
      <w:r w:rsidRPr="00A27818">
        <w:rPr>
          <w:rFonts w:asciiTheme="majorBidi" w:hAnsiTheme="majorBidi" w:cstheme="majorBidi"/>
          <w:i/>
          <w:iCs/>
          <w:sz w:val="24"/>
          <w:szCs w:val="24"/>
        </w:rPr>
        <w:t>Al-</w:t>
      </w:r>
      <w:proofErr w:type="spellStart"/>
      <w:r w:rsidRPr="00A27818">
        <w:rPr>
          <w:rFonts w:asciiTheme="majorBidi" w:hAnsiTheme="majorBidi" w:cstheme="majorBidi"/>
          <w:i/>
          <w:iCs/>
          <w:sz w:val="24"/>
          <w:szCs w:val="24"/>
        </w:rPr>
        <w:t>Muqaddimah</w:t>
      </w:r>
      <w:proofErr w:type="spellEnd"/>
      <w:r w:rsidRPr="00A27818">
        <w:rPr>
          <w:rFonts w:asciiTheme="majorBidi" w:hAnsiTheme="majorBidi" w:cstheme="majorBidi"/>
          <w:i/>
          <w:iCs/>
          <w:sz w:val="24"/>
          <w:szCs w:val="24"/>
        </w:rPr>
        <w:t xml:space="preserve"> al-</w:t>
      </w:r>
      <w:proofErr w:type="spellStart"/>
      <w:r w:rsidRPr="00A27818">
        <w:rPr>
          <w:rFonts w:asciiTheme="majorBidi" w:hAnsiTheme="majorBidi" w:cstheme="majorBidi"/>
          <w:i/>
          <w:iCs/>
          <w:sz w:val="24"/>
          <w:szCs w:val="24"/>
        </w:rPr>
        <w:t>Ajurrumiyyah</w:t>
      </w:r>
      <w:proofErr w:type="spellEnd"/>
      <w:r w:rsidRPr="00A27818">
        <w:rPr>
          <w:rFonts w:asciiTheme="majorBidi" w:hAnsiTheme="majorBidi" w:cstheme="majorBidi"/>
          <w:sz w:val="24"/>
          <w:szCs w:val="24"/>
        </w:rPr>
        <w:t> to transform Arabic grammar education. Addressing the limitations of traditional methods—such as passive rote learning, lack of personalization, and difficulty applying grammatical rules to authentic Qur’anic texts—the AI-enhanced system offers interactive, adaptive, and learner-centered instruction. Grounded in modern educational theories like constructivism and Vygotsky’s Zone of Proximal Development, and embedded in spiritual and textual contexts, the framework comprises five core components: Interactive Lesson Modules, Contextual Qur’anic Analysis, Adaptive Practice with Immediate Feedback, On-Demand Explanations, and Personalized Learning Paths. Empirical findings from a mixed-method pilot study demonstrate significant improvements in learner engagement, grammatical accuracy, and metalinguistic awareness, alongside a redefined complementary role of AI and human educators. This model not only revitalizes classical grammatical study for contemporary learners but also exemplifies how technology and tradition can synergistically advance culturally sensitive and spiritually grounded pedagogy. The implications extend beyond Arabic, offering a scalable blueprint for integrating ethical AI into heritage language education.</w:t>
      </w:r>
      <w:r>
        <w:rPr>
          <w:rFonts w:asciiTheme="majorBidi" w:hAnsiTheme="majorBidi" w:cstheme="majorBidi"/>
          <w:sz w:val="24"/>
          <w:szCs w:val="24"/>
        </w:rPr>
        <w:t xml:space="preserve"> </w:t>
      </w:r>
      <w:r w:rsidRPr="00720F27">
        <w:rPr>
          <w:rFonts w:asciiTheme="majorBidi" w:hAnsiTheme="majorBidi" w:cstheme="majorBidi"/>
          <w:bCs/>
          <w:i/>
          <w:sz w:val="24"/>
          <w:szCs w:val="24"/>
        </w:rPr>
        <w:t xml:space="preserve">A live demo of this AI Tutor is available at </w:t>
      </w:r>
      <w:hyperlink r:id="rId4" w:history="1">
        <w:proofErr w:type="spellStart"/>
        <w:r>
          <w:rPr>
            <w:rStyle w:val="Hyperlink"/>
            <w:rFonts w:asciiTheme="majorBidi" w:hAnsiTheme="majorBidi" w:cstheme="majorBidi"/>
            <w:bCs/>
            <w:i/>
            <w:sz w:val="24"/>
            <w:szCs w:val="24"/>
          </w:rPr>
          <w:t>Ajurrumiyyah</w:t>
        </w:r>
        <w:proofErr w:type="spellEnd"/>
        <w:r>
          <w:rPr>
            <w:rStyle w:val="Hyperlink"/>
            <w:rFonts w:asciiTheme="majorBidi" w:hAnsiTheme="majorBidi" w:cstheme="majorBidi"/>
            <w:bCs/>
            <w:i/>
            <w:sz w:val="24"/>
            <w:szCs w:val="24"/>
          </w:rPr>
          <w:t>-GPT</w:t>
        </w:r>
      </w:hyperlink>
      <w:r w:rsidRPr="00720F27">
        <w:rPr>
          <w:rFonts w:asciiTheme="majorBidi" w:hAnsiTheme="majorBidi" w:cstheme="majorBidi"/>
          <w:bCs/>
          <w:i/>
          <w:sz w:val="24"/>
          <w:szCs w:val="24"/>
        </w:rPr>
        <w:t xml:space="preserve"> </w:t>
      </w:r>
    </w:p>
    <w:p w14:paraId="18AD6892" w14:textId="77777777" w:rsidR="00573605" w:rsidRDefault="00573605"/>
    <w:p w14:paraId="1CE4E816" w14:textId="42001834" w:rsidR="00814C93" w:rsidRDefault="00573605">
      <w:r w:rsidRPr="00573605">
        <w:t>Keywords: Al-</w:t>
      </w:r>
      <w:proofErr w:type="spellStart"/>
      <w:r w:rsidRPr="00573605">
        <w:t>Ajurrumiyyah</w:t>
      </w:r>
      <w:proofErr w:type="spellEnd"/>
      <w:r w:rsidRPr="00573605">
        <w:t>, AI Tutoring Systems, Arabic Grammar, Artificial Intelligence, Educational Technology, Pedagogy, Personalized Learning, Qur'anic Arabic</w:t>
      </w:r>
    </w:p>
    <w:sectPr w:rsidR="00814C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605"/>
    <w:rsid w:val="003D58F1"/>
    <w:rsid w:val="00573605"/>
    <w:rsid w:val="00814C93"/>
    <w:rsid w:val="00817DA8"/>
    <w:rsid w:val="00A86A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75FE9"/>
  <w15:chartTrackingRefBased/>
  <w15:docId w15:val="{0181A8B1-F0E6-4482-A517-FF12BC3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6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7360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tgpt.com/g/g-6818140f8b448191bf5b964e9c4f7f69-ajurrumiyyah-g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adhia nugraha</dc:creator>
  <cp:keywords/>
  <dc:description/>
  <cp:lastModifiedBy>adhia nugraha</cp:lastModifiedBy>
  <cp:revision>1</cp:revision>
  <dcterms:created xsi:type="dcterms:W3CDTF">2026-02-05T10:52:00Z</dcterms:created>
  <dcterms:modified xsi:type="dcterms:W3CDTF">2026-02-05T10:52:00Z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8e36aa8c-e11c-477e-aec2-4fc4e2ea626a</vt:lpwstr>
  </property>
</Properties>
</file>